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575" w14:textId="77777777" w:rsidR="00807529" w:rsidRPr="00807529" w:rsidRDefault="00807529" w:rsidP="00807529">
      <w:pPr>
        <w:pStyle w:val="Subheading"/>
        <w:rPr>
          <w:color w:val="231F20" w:themeColor="background1"/>
          <w:sz w:val="80"/>
        </w:rPr>
      </w:pPr>
      <w:r w:rsidRPr="00807529">
        <w:rPr>
          <w:color w:val="231F20" w:themeColor="background1"/>
          <w:sz w:val="80"/>
        </w:rPr>
        <w:fldChar w:fldCharType="begin"/>
      </w:r>
      <w:r w:rsidRPr="00807529">
        <w:rPr>
          <w:color w:val="231F20" w:themeColor="background1"/>
          <w:sz w:val="80"/>
        </w:rPr>
        <w:instrText xml:space="preserve"> TITLE  \* FirstCap  \* MERGEFORMAT </w:instrText>
      </w:r>
      <w:r w:rsidRPr="00807529">
        <w:rPr>
          <w:color w:val="231F20" w:themeColor="background1"/>
          <w:sz w:val="80"/>
        </w:rPr>
        <w:fldChar w:fldCharType="end"/>
      </w:r>
      <w:r w:rsidRPr="00807529">
        <w:rPr>
          <w:color w:val="231F20" w:themeColor="background1"/>
          <w:sz w:val="80"/>
        </w:rPr>
        <w:t>Learner Representative on the Quality and Standards Committee</w:t>
      </w:r>
    </w:p>
    <w:p w14:paraId="05060B11" w14:textId="77777777" w:rsidR="00807529" w:rsidRDefault="00807529" w:rsidP="00807529">
      <w:pPr>
        <w:pStyle w:val="Heading2"/>
      </w:pPr>
      <w:bookmarkStart w:id="0" w:name="_Toc65072034"/>
      <w:bookmarkStart w:id="1" w:name="_Toc350174611"/>
      <w:r>
        <w:t>Role Profile</w:t>
      </w:r>
    </w:p>
    <w:p w14:paraId="4D12FEEE" w14:textId="77777777" w:rsidR="00807529" w:rsidRDefault="00807529" w:rsidP="00807529">
      <w:bookmarkStart w:id="2" w:name="_Toc65072035"/>
      <w:bookmarkEnd w:id="0"/>
      <w:r w:rsidRPr="5DBE5BE7">
        <w:t>We are appointing a learner representative as a member of the QSC to ensure that the views of learners are taken into consideration across the processes in place to assure the quality of STP.  The representative will contribute to the decision-making and improvement process.</w:t>
      </w:r>
    </w:p>
    <w:bookmarkEnd w:id="2"/>
    <w:p w14:paraId="3B15F9C4" w14:textId="77777777" w:rsidR="00807529" w:rsidRDefault="00807529" w:rsidP="00807529">
      <w:r w:rsidRPr="00175AFE">
        <w:t xml:space="preserve">NSHCS acts as a hub for healthcare scientists delivering training across the NHS.  The School is recognised by the Health and Care Professions Council as the education provider for the Scientist Training Programme (STP).  Working with over 30 different specialties, the STP produces scientists who are changing patient and clinical outcomes, contributing to multi-professional and integrated working, and leading in many areas of innovation and translational research within the NHS.  Patients are at the heart of the STP: our trainees must all learn about good patient care and safety and ensure all their work focuses on creating maximum benefit to the patient. </w:t>
      </w:r>
    </w:p>
    <w:p w14:paraId="0AFBA17D" w14:textId="77777777" w:rsidR="00807529" w:rsidRDefault="00807529" w:rsidP="00807529">
      <w:pPr>
        <w:rPr>
          <w:rFonts w:eastAsiaTheme="majorEastAsia" w:cs="Arial"/>
        </w:rPr>
      </w:pPr>
      <w:r w:rsidRPr="003C757C">
        <w:rPr>
          <w:rFonts w:eastAsiaTheme="majorEastAsia" w:cs="Arial"/>
        </w:rPr>
        <w:t>The Quality and Standards Committee (QSC) provides governance and oversight to ensure the quality of the STP enabling those successfully completing the programme to fulfil the requirements of the HCPC to register as a Clinical Scientist.</w:t>
      </w:r>
    </w:p>
    <w:p w14:paraId="1F4871EB" w14:textId="77777777" w:rsidR="00807529" w:rsidRPr="00807529" w:rsidRDefault="00807529" w:rsidP="008E0759">
      <w:pPr>
        <w:numPr>
          <w:ilvl w:val="0"/>
          <w:numId w:val="3"/>
        </w:numPr>
        <w:rPr>
          <w:rFonts w:eastAsiaTheme="majorEastAsia" w:cs="Arial"/>
        </w:rPr>
      </w:pPr>
      <w:r w:rsidRPr="00807529">
        <w:rPr>
          <w:rFonts w:eastAsiaTheme="majorEastAsia" w:cs="Arial"/>
        </w:rPr>
        <w:t xml:space="preserve">Contribute to the QSC in a constructive manner, offering ideas and opinions which reflect the voice of learners on the programme. </w:t>
      </w:r>
    </w:p>
    <w:p w14:paraId="3946FE71" w14:textId="77777777" w:rsidR="00807529" w:rsidRPr="00807529" w:rsidRDefault="00807529" w:rsidP="008E0759">
      <w:pPr>
        <w:numPr>
          <w:ilvl w:val="0"/>
          <w:numId w:val="3"/>
        </w:numPr>
        <w:rPr>
          <w:rFonts w:eastAsiaTheme="majorEastAsia" w:cs="Arial"/>
        </w:rPr>
      </w:pPr>
      <w:r w:rsidRPr="00807529">
        <w:rPr>
          <w:rFonts w:eastAsiaTheme="majorEastAsia" w:cs="Arial"/>
        </w:rPr>
        <w:t>Contribute to project work which has been identified as an area of need by the QSC. This may sometimes require collaborative working with other committee members and at other times working autonomously.</w:t>
      </w:r>
    </w:p>
    <w:p w14:paraId="739C061F" w14:textId="77777777" w:rsidR="00807529" w:rsidRPr="00807529" w:rsidRDefault="00807529" w:rsidP="008E0759">
      <w:pPr>
        <w:numPr>
          <w:ilvl w:val="0"/>
          <w:numId w:val="3"/>
        </w:numPr>
        <w:rPr>
          <w:rFonts w:eastAsiaTheme="majorEastAsia" w:cs="Arial"/>
        </w:rPr>
      </w:pPr>
      <w:r w:rsidRPr="00807529">
        <w:rPr>
          <w:rFonts w:eastAsiaTheme="majorEastAsia" w:cs="Arial"/>
        </w:rPr>
        <w:t xml:space="preserve">Provide a commitment to the QSC, and act as a representative of the committee when required (the Chair may ask a representative to stand down if he/she is no longer able to fulfil this commitment satisfactorily). </w:t>
      </w:r>
    </w:p>
    <w:p w14:paraId="43A3C1A2" w14:textId="77777777" w:rsidR="00807529" w:rsidRPr="00807529" w:rsidRDefault="00807529" w:rsidP="008E0759">
      <w:pPr>
        <w:numPr>
          <w:ilvl w:val="0"/>
          <w:numId w:val="3"/>
        </w:numPr>
        <w:rPr>
          <w:rFonts w:eastAsiaTheme="majorEastAsia" w:cs="Arial"/>
        </w:rPr>
      </w:pPr>
      <w:r w:rsidRPr="00807529">
        <w:rPr>
          <w:rFonts w:eastAsiaTheme="majorEastAsia" w:cs="Arial"/>
        </w:rPr>
        <w:t xml:space="preserve">It is important that representatives bring their personal experience to the committee but also remember that they are representative of all learners. </w:t>
      </w:r>
    </w:p>
    <w:p w14:paraId="7C482CC1" w14:textId="77777777" w:rsidR="00807529" w:rsidRPr="00807529" w:rsidRDefault="00807529" w:rsidP="008E0759">
      <w:pPr>
        <w:numPr>
          <w:ilvl w:val="0"/>
          <w:numId w:val="3"/>
        </w:numPr>
        <w:rPr>
          <w:rFonts w:eastAsiaTheme="majorEastAsia" w:cs="Arial"/>
        </w:rPr>
      </w:pPr>
      <w:r w:rsidRPr="00807529">
        <w:rPr>
          <w:rFonts w:eastAsiaTheme="majorEastAsia" w:cs="Arial"/>
        </w:rPr>
        <w:lastRenderedPageBreak/>
        <w:t>Representatives should not agree to take on projects which they feel are outside their remit, beyond their skill or knowledge level, or would require a time commitment which they are unable to keep.</w:t>
      </w:r>
    </w:p>
    <w:p w14:paraId="612591D3" w14:textId="2577AFE3" w:rsidR="00807529" w:rsidRPr="00807529" w:rsidRDefault="00807529" w:rsidP="008E0759">
      <w:pPr>
        <w:numPr>
          <w:ilvl w:val="0"/>
          <w:numId w:val="3"/>
        </w:numPr>
        <w:rPr>
          <w:rFonts w:eastAsiaTheme="majorEastAsia" w:cs="Arial"/>
        </w:rPr>
      </w:pPr>
      <w:r w:rsidRPr="00807529">
        <w:rPr>
          <w:rFonts w:eastAsiaTheme="majorEastAsia" w:cs="Arial"/>
        </w:rPr>
        <w:t xml:space="preserve">If representatives have any queries relating to their role and responsibilities, they should contact the Chair of the Committee. </w:t>
      </w:r>
    </w:p>
    <w:p w14:paraId="7841AFA1" w14:textId="7AEB251F" w:rsidR="00807529" w:rsidRPr="00807529" w:rsidRDefault="00807529" w:rsidP="00807529">
      <w:pPr>
        <w:rPr>
          <w:rFonts w:cstheme="minorHAnsi"/>
        </w:rPr>
      </w:pPr>
      <w:r>
        <w:rPr>
          <w:rFonts w:cstheme="minorHAnsi"/>
        </w:rPr>
        <w:t xml:space="preserve">There is no payment for this role.  In the event of face-to-face meetings, reasonable travel and subsistence expenses will be paid in accordance with </w:t>
      </w:r>
      <w:r w:rsidR="006866F3">
        <w:rPr>
          <w:rFonts w:cstheme="minorHAnsi"/>
        </w:rPr>
        <w:t>NHSE</w:t>
      </w:r>
      <w:r>
        <w:rPr>
          <w:rFonts w:cstheme="minorHAnsi"/>
        </w:rPr>
        <w:t xml:space="preserve"> policy.  </w:t>
      </w:r>
    </w:p>
    <w:p w14:paraId="4B3FE30B" w14:textId="77777777" w:rsidR="00807529" w:rsidRPr="00807529" w:rsidRDefault="00807529" w:rsidP="00807529">
      <w:pPr>
        <w:rPr>
          <w:rFonts w:ascii="Arial Bold" w:eastAsia="MS Mincho" w:hAnsi="Arial Bold" w:hint="eastAsia"/>
          <w:b/>
          <w:color w:val="231F20" w:themeColor="background1"/>
          <w:kern w:val="28"/>
          <w:sz w:val="26"/>
          <w:szCs w:val="20"/>
          <w14:ligatures w14:val="standardContextual"/>
        </w:rPr>
      </w:pPr>
      <w:r w:rsidRPr="00807529">
        <w:rPr>
          <w:rFonts w:ascii="Arial Bold" w:eastAsia="MS Mincho" w:hAnsi="Arial Bold"/>
          <w:b/>
          <w:color w:val="231F20" w:themeColor="background1"/>
          <w:kern w:val="28"/>
          <w:sz w:val="26"/>
          <w:szCs w:val="20"/>
          <w14:ligatures w14:val="standardContextual"/>
        </w:rPr>
        <w:t>Time Commitment</w:t>
      </w:r>
    </w:p>
    <w:p w14:paraId="029068F6" w14:textId="03F75CE1" w:rsidR="00807529" w:rsidRPr="00920E0B" w:rsidRDefault="00807529" w:rsidP="00807529">
      <w:pPr>
        <w:rPr>
          <w:rFonts w:cstheme="minorHAnsi"/>
        </w:rPr>
      </w:pPr>
      <w:r>
        <w:rPr>
          <w:rFonts w:cstheme="minorHAnsi"/>
        </w:rPr>
        <w:t>The QSC will have four three-hour meetings per year.  There will be pre-reading for the meetings.  There may be other occasional quality-related activities at the request of the Chair, by agreement.</w:t>
      </w:r>
    </w:p>
    <w:p w14:paraId="717D3DA7" w14:textId="77777777" w:rsidR="00807529" w:rsidRPr="00807529" w:rsidRDefault="00807529" w:rsidP="00807529">
      <w:pPr>
        <w:pStyle w:val="Heading2"/>
        <w:rPr>
          <w:rFonts w:eastAsia="MS Mincho" w:hint="eastAsia"/>
          <w:sz w:val="26"/>
          <w:szCs w:val="20"/>
        </w:rPr>
      </w:pPr>
      <w:r w:rsidRPr="00807529">
        <w:rPr>
          <w:rFonts w:eastAsia="MS Mincho"/>
          <w:sz w:val="26"/>
          <w:szCs w:val="20"/>
        </w:rPr>
        <w:t>Person specification</w:t>
      </w:r>
    </w:p>
    <w:tbl>
      <w:tblPr>
        <w:tblStyle w:val="TableGrid"/>
        <w:tblW w:w="0" w:type="auto"/>
        <w:tblLook w:val="04A0" w:firstRow="1" w:lastRow="0" w:firstColumn="1" w:lastColumn="0" w:noHBand="0" w:noVBand="1"/>
      </w:tblPr>
      <w:tblGrid>
        <w:gridCol w:w="4396"/>
        <w:gridCol w:w="5458"/>
      </w:tblGrid>
      <w:tr w:rsidR="00807529" w:rsidRPr="003F7A0C" w14:paraId="2A69AB5A" w14:textId="77777777" w:rsidTr="00C36F7D">
        <w:tc>
          <w:tcPr>
            <w:tcW w:w="4508" w:type="dxa"/>
            <w:vAlign w:val="center"/>
          </w:tcPr>
          <w:p w14:paraId="5B2EA602" w14:textId="77777777" w:rsidR="00807529" w:rsidRPr="003F7A0C" w:rsidRDefault="00807529" w:rsidP="00C36F7D">
            <w:r w:rsidRPr="003F7A0C">
              <w:t>Experience</w:t>
            </w:r>
          </w:p>
        </w:tc>
        <w:tc>
          <w:tcPr>
            <w:tcW w:w="5552" w:type="dxa"/>
          </w:tcPr>
          <w:p w14:paraId="27A37791" w14:textId="193F9614" w:rsidR="00807529" w:rsidRPr="003F7A0C" w:rsidRDefault="00807529" w:rsidP="00C36F7D">
            <w:r>
              <w:t>C</w:t>
            </w:r>
            <w:r w:rsidRPr="003F7A0C">
              <w:t>urrent trainee on the STP Programme</w:t>
            </w:r>
            <w:r w:rsidR="00C943DA">
              <w:t xml:space="preserve">: </w:t>
            </w:r>
            <w:r>
              <w:t>preferably from year 2 or 3 of the programme.</w:t>
            </w:r>
          </w:p>
          <w:p w14:paraId="452EAB2D" w14:textId="77777777" w:rsidR="00807529" w:rsidRPr="003F7A0C" w:rsidRDefault="00807529" w:rsidP="00C36F7D"/>
        </w:tc>
      </w:tr>
      <w:tr w:rsidR="00807529" w:rsidRPr="003F7A0C" w14:paraId="46BDF5C2" w14:textId="77777777" w:rsidTr="00C36F7D">
        <w:tc>
          <w:tcPr>
            <w:tcW w:w="4508" w:type="dxa"/>
            <w:vAlign w:val="center"/>
          </w:tcPr>
          <w:p w14:paraId="32DF528B" w14:textId="77777777" w:rsidR="00807529" w:rsidRPr="003F7A0C" w:rsidRDefault="00807529" w:rsidP="00C36F7D">
            <w:r w:rsidRPr="003F7A0C">
              <w:t>Skills and aptitude</w:t>
            </w:r>
          </w:p>
        </w:tc>
        <w:tc>
          <w:tcPr>
            <w:tcW w:w="5552" w:type="dxa"/>
            <w:vAlign w:val="center"/>
          </w:tcPr>
          <w:p w14:paraId="3C6E76D6" w14:textId="77777777" w:rsidR="00807529" w:rsidRPr="003F7A0C" w:rsidRDefault="00807529" w:rsidP="00C36F7D">
            <w:r w:rsidRPr="003F7A0C">
              <w:t xml:space="preserve">Good communication skills </w:t>
            </w:r>
          </w:p>
          <w:p w14:paraId="74D1CF7F" w14:textId="77777777" w:rsidR="00807529" w:rsidRPr="003F7A0C" w:rsidRDefault="00807529" w:rsidP="00C36F7D">
            <w:r w:rsidRPr="003F7A0C">
              <w:t>Ability to present views in a group</w:t>
            </w:r>
          </w:p>
          <w:p w14:paraId="30124096" w14:textId="77777777" w:rsidR="00807529" w:rsidRPr="003F7A0C" w:rsidRDefault="00807529" w:rsidP="00C36F7D">
            <w:r w:rsidRPr="003F7A0C">
              <w:t xml:space="preserve">Ability to form and maintain working relationships in challenging circumstances </w:t>
            </w:r>
          </w:p>
          <w:p w14:paraId="4744814D" w14:textId="77777777" w:rsidR="00807529" w:rsidRPr="003F7A0C" w:rsidRDefault="00807529" w:rsidP="00C36F7D">
            <w:r w:rsidRPr="003F7A0C">
              <w:t xml:space="preserve">Ability to distinguish between personal and group views </w:t>
            </w:r>
          </w:p>
          <w:p w14:paraId="2A213367" w14:textId="77777777" w:rsidR="00807529" w:rsidRPr="003F7A0C" w:rsidRDefault="00807529" w:rsidP="00C36F7D">
            <w:r w:rsidRPr="003F7A0C">
              <w:t xml:space="preserve">Good time management skills </w:t>
            </w:r>
          </w:p>
          <w:p w14:paraId="56BDB462" w14:textId="77777777" w:rsidR="00807529" w:rsidRPr="003F7A0C" w:rsidRDefault="00807529" w:rsidP="00C36F7D"/>
        </w:tc>
      </w:tr>
      <w:tr w:rsidR="00807529" w:rsidRPr="003F7A0C" w14:paraId="6D85CB81" w14:textId="77777777" w:rsidTr="00C36F7D">
        <w:tc>
          <w:tcPr>
            <w:tcW w:w="4508" w:type="dxa"/>
            <w:vAlign w:val="center"/>
          </w:tcPr>
          <w:p w14:paraId="0089EB5F" w14:textId="77777777" w:rsidR="00807529" w:rsidRPr="003F7A0C" w:rsidRDefault="00807529" w:rsidP="00C36F7D">
            <w:r w:rsidRPr="003F7A0C">
              <w:t>Personal qualities</w:t>
            </w:r>
          </w:p>
        </w:tc>
        <w:tc>
          <w:tcPr>
            <w:tcW w:w="5552" w:type="dxa"/>
          </w:tcPr>
          <w:p w14:paraId="46175176" w14:textId="77777777" w:rsidR="00807529" w:rsidRPr="003F7A0C" w:rsidRDefault="00807529" w:rsidP="00C36F7D">
            <w:r w:rsidRPr="003F7A0C">
              <w:t xml:space="preserve">Sensitivity </w:t>
            </w:r>
          </w:p>
          <w:p w14:paraId="079CED52" w14:textId="77777777" w:rsidR="00807529" w:rsidRPr="003F7A0C" w:rsidRDefault="00807529" w:rsidP="00C36F7D">
            <w:r w:rsidRPr="003F7A0C">
              <w:t xml:space="preserve">Reliability </w:t>
            </w:r>
          </w:p>
          <w:p w14:paraId="2A490C60" w14:textId="77777777" w:rsidR="00807529" w:rsidRPr="003F7A0C" w:rsidRDefault="00807529" w:rsidP="00C36F7D">
            <w:r w:rsidRPr="003F7A0C">
              <w:t xml:space="preserve">Flexibility </w:t>
            </w:r>
          </w:p>
          <w:p w14:paraId="4F6C9172" w14:textId="77777777" w:rsidR="00807529" w:rsidRPr="003F7A0C" w:rsidRDefault="00807529" w:rsidP="00C36F7D">
            <w:r w:rsidRPr="003F7A0C">
              <w:t xml:space="preserve">Resilience and tenacity </w:t>
            </w:r>
          </w:p>
          <w:p w14:paraId="1314A2B3" w14:textId="77777777" w:rsidR="00807529" w:rsidRPr="003F7A0C" w:rsidRDefault="00807529" w:rsidP="00C36F7D">
            <w:r w:rsidRPr="003F7A0C">
              <w:t xml:space="preserve">Openness and transparency </w:t>
            </w:r>
          </w:p>
          <w:p w14:paraId="19B2702A" w14:textId="77777777" w:rsidR="00807529" w:rsidRPr="003F7A0C" w:rsidRDefault="00807529" w:rsidP="00C36F7D"/>
        </w:tc>
      </w:tr>
      <w:tr w:rsidR="00807529" w:rsidRPr="003F7A0C" w14:paraId="0938FDDB" w14:textId="77777777" w:rsidTr="00C36F7D">
        <w:tc>
          <w:tcPr>
            <w:tcW w:w="4508" w:type="dxa"/>
            <w:vAlign w:val="center"/>
          </w:tcPr>
          <w:p w14:paraId="40DD024F" w14:textId="77777777" w:rsidR="00807529" w:rsidRPr="003F7A0C" w:rsidRDefault="00807529" w:rsidP="00C36F7D">
            <w:r w:rsidRPr="003F7A0C">
              <w:lastRenderedPageBreak/>
              <w:t>Knowledge</w:t>
            </w:r>
          </w:p>
        </w:tc>
        <w:tc>
          <w:tcPr>
            <w:tcW w:w="5552" w:type="dxa"/>
          </w:tcPr>
          <w:p w14:paraId="79AE60A5" w14:textId="77777777" w:rsidR="00807529" w:rsidRPr="003F7A0C" w:rsidRDefault="00807529" w:rsidP="00C36F7D">
            <w:r w:rsidRPr="003F7A0C">
              <w:t xml:space="preserve">Awareness of and an interest in national health and social care issues </w:t>
            </w:r>
          </w:p>
          <w:p w14:paraId="31BE92E0" w14:textId="77777777" w:rsidR="00807529" w:rsidRPr="003F7A0C" w:rsidRDefault="00807529" w:rsidP="00C36F7D">
            <w:r w:rsidRPr="003F7A0C">
              <w:t>A broad understanding/willingness to learn about the role of healthcare scientists across patient pathways (directed guidance can be provided for this)</w:t>
            </w:r>
          </w:p>
          <w:p w14:paraId="77157BCE" w14:textId="77777777" w:rsidR="00807529" w:rsidRPr="003F7A0C" w:rsidRDefault="00807529" w:rsidP="00C36F7D">
            <w:r w:rsidRPr="003F7A0C">
              <w:t xml:space="preserve">Appreciation of the complexity of working across organisational boundaries and joint working </w:t>
            </w:r>
          </w:p>
          <w:p w14:paraId="0E3B8546" w14:textId="08AACC09" w:rsidR="00807529" w:rsidRPr="003F7A0C" w:rsidRDefault="00807529" w:rsidP="00C36F7D">
            <w:r w:rsidRPr="003F7A0C">
              <w:t>A willingness to learn about the work of the National School of Healthcare Science</w:t>
            </w:r>
          </w:p>
          <w:p w14:paraId="1C749697" w14:textId="77777777" w:rsidR="00807529" w:rsidRPr="003F7A0C" w:rsidRDefault="00807529" w:rsidP="00C36F7D">
            <w:r w:rsidRPr="003F7A0C">
              <w:t>Access to and ability to use technology for access to video conferencing to attend meetings e.g., Microsoft Teams</w:t>
            </w:r>
          </w:p>
          <w:p w14:paraId="3FC1CF42" w14:textId="77777777" w:rsidR="00807529" w:rsidRPr="003F7A0C" w:rsidRDefault="00807529" w:rsidP="00C36F7D"/>
        </w:tc>
      </w:tr>
    </w:tbl>
    <w:p w14:paraId="6A6F7D18" w14:textId="77777777" w:rsidR="00807529" w:rsidRDefault="00807529" w:rsidP="00807529">
      <w:pPr>
        <w:rPr>
          <w:b/>
          <w:bCs/>
          <w:color w:val="FFFFFF" w:themeColor="text1"/>
        </w:rPr>
      </w:pPr>
    </w:p>
    <w:bookmarkEnd w:id="1"/>
    <w:p w14:paraId="2E2CF0B5" w14:textId="7CE8F53B" w:rsidR="00807529" w:rsidRDefault="00807529">
      <w:pPr>
        <w:spacing w:after="0" w:line="240" w:lineRule="auto"/>
        <w:textboxTightWrap w:val="none"/>
        <w:rPr>
          <w:rFonts w:ascii="Arial Bold" w:hAnsi="Arial Bold" w:cs="Arial"/>
          <w:b/>
          <w:color w:val="231F20" w:themeColor="background1"/>
          <w:kern w:val="28"/>
          <w:sz w:val="32"/>
          <w14:ligatures w14:val="standardContextual"/>
        </w:rPr>
      </w:pPr>
    </w:p>
    <w:sectPr w:rsidR="00807529" w:rsidSect="00101883">
      <w:headerReference w:type="default" r:id="rId11"/>
      <w:footerReference w:type="default" r:id="rId12"/>
      <w:pgSz w:w="11906" w:h="16838"/>
      <w:pgMar w:top="2268"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F694" w14:textId="77777777" w:rsidR="007D10AD" w:rsidRDefault="007D10AD" w:rsidP="000C24AF">
      <w:pPr>
        <w:spacing w:after="0"/>
      </w:pPr>
      <w:r>
        <w:separator/>
      </w:r>
    </w:p>
  </w:endnote>
  <w:endnote w:type="continuationSeparator" w:id="0">
    <w:p w14:paraId="57495FB2" w14:textId="77777777" w:rsidR="007D10AD" w:rsidRDefault="007D10AD" w:rsidP="000C24AF">
      <w:pPr>
        <w:spacing w:after="0"/>
      </w:pPr>
      <w:r>
        <w:continuationSeparator/>
      </w:r>
    </w:p>
  </w:endnote>
  <w:endnote w:type="continuationNotice" w:id="1">
    <w:p w14:paraId="6C85BB5E" w14:textId="77777777" w:rsidR="007D10AD" w:rsidRDefault="007D1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8DD9" w14:textId="77777777" w:rsidR="000733A2" w:rsidRDefault="00C40AAB">
    <w:pPr>
      <w:pStyle w:val="Footer"/>
    </w:pPr>
    <w:r>
      <w:t>Publication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98F6" w14:textId="77777777" w:rsidR="007D10AD" w:rsidRDefault="007D10AD" w:rsidP="000C24AF">
      <w:pPr>
        <w:spacing w:after="0"/>
      </w:pPr>
      <w:r>
        <w:separator/>
      </w:r>
    </w:p>
  </w:footnote>
  <w:footnote w:type="continuationSeparator" w:id="0">
    <w:p w14:paraId="4C9EB945" w14:textId="77777777" w:rsidR="007D10AD" w:rsidRDefault="007D10AD" w:rsidP="000C24AF">
      <w:pPr>
        <w:spacing w:after="0"/>
      </w:pPr>
      <w:r>
        <w:continuationSeparator/>
      </w:r>
    </w:p>
  </w:footnote>
  <w:footnote w:type="continuationNotice" w:id="1">
    <w:p w14:paraId="456E3EBC" w14:textId="77777777" w:rsidR="007D10AD" w:rsidRDefault="007D1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0D52CD91"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01D96DB8" w14:textId="4317E44E" w:rsidR="000733A2" w:rsidRDefault="00807529" w:rsidP="000733A2">
              <w:pPr>
                <w:pStyle w:val="Classification"/>
              </w:pPr>
              <w:r>
                <w:rPr>
                  <w:highlight w:val="yellow"/>
                </w:rPr>
                <w:t>Classification: Official</w:t>
              </w:r>
            </w:p>
          </w:tc>
        </w:sdtContent>
      </w:sdt>
    </w:tr>
  </w:tbl>
  <w:p w14:paraId="3CA4EB7C"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22C46BAE" wp14:editId="6463B5A5">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EADA5D" w14:textId="77777777" w:rsidR="002855F7" w:rsidRDefault="002855F7" w:rsidP="00101883">
    <w:pPr>
      <w:pStyle w:val="Header"/>
      <w:pBdr>
        <w:bottom w:val="none" w:sz="0" w:space="0" w:color="auto"/>
      </w:pBdr>
    </w:pPr>
  </w:p>
  <w:p w14:paraId="55C7E991"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603C6710" wp14:editId="084AAEC7">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4487D"/>
    <w:multiLevelType w:val="hybridMultilevel"/>
    <w:tmpl w:val="BA781EEC"/>
    <w:lvl w:ilvl="0" w:tplc="B0FE7D5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0"/>
  </w:num>
  <w:num w:numId="2" w16cid:durableId="1394693074">
    <w:abstractNumId w:val="2"/>
  </w:num>
  <w:num w:numId="3" w16cid:durableId="19431517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29"/>
    <w:rsid w:val="00000197"/>
    <w:rsid w:val="000005C7"/>
    <w:rsid w:val="0000416F"/>
    <w:rsid w:val="000108B8"/>
    <w:rsid w:val="0001164C"/>
    <w:rsid w:val="0003185C"/>
    <w:rsid w:val="00031FD0"/>
    <w:rsid w:val="00055630"/>
    <w:rsid w:val="00061452"/>
    <w:rsid w:val="000733A2"/>
    <w:rsid w:val="0008313C"/>
    <w:rsid w:val="000863E2"/>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715E"/>
    <w:rsid w:val="0034439B"/>
    <w:rsid w:val="0034560E"/>
    <w:rsid w:val="0035386A"/>
    <w:rsid w:val="0035464A"/>
    <w:rsid w:val="003A4B22"/>
    <w:rsid w:val="003B2686"/>
    <w:rsid w:val="003B6BB4"/>
    <w:rsid w:val="003D3A42"/>
    <w:rsid w:val="003F7B0C"/>
    <w:rsid w:val="00411D1D"/>
    <w:rsid w:val="00420E7F"/>
    <w:rsid w:val="00423FAF"/>
    <w:rsid w:val="00427636"/>
    <w:rsid w:val="00430131"/>
    <w:rsid w:val="00442FF0"/>
    <w:rsid w:val="00443088"/>
    <w:rsid w:val="00455A3F"/>
    <w:rsid w:val="00472D33"/>
    <w:rsid w:val="0049197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71B7A"/>
    <w:rsid w:val="00675E35"/>
    <w:rsid w:val="00684633"/>
    <w:rsid w:val="006866F3"/>
    <w:rsid w:val="00692041"/>
    <w:rsid w:val="00694FC4"/>
    <w:rsid w:val="006D02E8"/>
    <w:rsid w:val="006F37F0"/>
    <w:rsid w:val="00702B4D"/>
    <w:rsid w:val="00710E40"/>
    <w:rsid w:val="0071497F"/>
    <w:rsid w:val="00723A85"/>
    <w:rsid w:val="0073429A"/>
    <w:rsid w:val="00753953"/>
    <w:rsid w:val="00761E45"/>
    <w:rsid w:val="00763FA3"/>
    <w:rsid w:val="007663CB"/>
    <w:rsid w:val="00796E96"/>
    <w:rsid w:val="007A1D0E"/>
    <w:rsid w:val="007D10AD"/>
    <w:rsid w:val="007E4138"/>
    <w:rsid w:val="007F5954"/>
    <w:rsid w:val="00801629"/>
    <w:rsid w:val="008075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0759"/>
    <w:rsid w:val="008E2296"/>
    <w:rsid w:val="00905552"/>
    <w:rsid w:val="00917854"/>
    <w:rsid w:val="00922AD1"/>
    <w:rsid w:val="0094128E"/>
    <w:rsid w:val="00970C89"/>
    <w:rsid w:val="00987163"/>
    <w:rsid w:val="00990E1C"/>
    <w:rsid w:val="009A0001"/>
    <w:rsid w:val="009B0321"/>
    <w:rsid w:val="009B47EA"/>
    <w:rsid w:val="009C27F0"/>
    <w:rsid w:val="009D24D4"/>
    <w:rsid w:val="009F09FD"/>
    <w:rsid w:val="009F1650"/>
    <w:rsid w:val="009F4912"/>
    <w:rsid w:val="009F7412"/>
    <w:rsid w:val="00A02EEF"/>
    <w:rsid w:val="00A03469"/>
    <w:rsid w:val="00A124B9"/>
    <w:rsid w:val="00A24407"/>
    <w:rsid w:val="00A268E2"/>
    <w:rsid w:val="00A646D7"/>
    <w:rsid w:val="00A66950"/>
    <w:rsid w:val="00A75B7E"/>
    <w:rsid w:val="00A812B3"/>
    <w:rsid w:val="00AB0D2D"/>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943DA"/>
    <w:rsid w:val="00CA0FAC"/>
    <w:rsid w:val="00CA667A"/>
    <w:rsid w:val="00CC7B1C"/>
    <w:rsid w:val="00CE086C"/>
    <w:rsid w:val="00CF7DA5"/>
    <w:rsid w:val="00D2315A"/>
    <w:rsid w:val="00D356F8"/>
    <w:rsid w:val="00D50FF0"/>
    <w:rsid w:val="00D66537"/>
    <w:rsid w:val="00D92BBC"/>
    <w:rsid w:val="00D93D0D"/>
    <w:rsid w:val="00DA589B"/>
    <w:rsid w:val="00DC7A9D"/>
    <w:rsid w:val="00DD1729"/>
    <w:rsid w:val="00DD3B24"/>
    <w:rsid w:val="00DD3C99"/>
    <w:rsid w:val="00DD77F0"/>
    <w:rsid w:val="00DD7C30"/>
    <w:rsid w:val="00DE3AB8"/>
    <w:rsid w:val="00DF4DBC"/>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94FB"/>
  <w15:docId w15:val="{C9F5A832-8070-472E-86C2-9AE4938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BodyText1">
    <w:name w:val="Body Text1"/>
    <w:basedOn w:val="Normal"/>
    <w:link w:val="BodytextChar"/>
    <w:qFormat/>
    <w:rsid w:val="00807529"/>
    <w:pPr>
      <w:spacing w:after="160" w:line="259" w:lineRule="auto"/>
      <w:textboxTightWrap w:val="none"/>
    </w:pPr>
    <w:rPr>
      <w:rFonts w:asciiTheme="minorHAnsi" w:eastAsiaTheme="minorHAnsi" w:hAnsiTheme="minorHAnsi" w:cstheme="minorBidi"/>
      <w:color w:val="auto"/>
    </w:rPr>
  </w:style>
  <w:style w:type="character" w:customStyle="1" w:styleId="BodytextChar">
    <w:name w:val="Body text Char"/>
    <w:basedOn w:val="DefaultParagraphFont"/>
    <w:link w:val="BodyText1"/>
    <w:rsid w:val="00807529"/>
    <w:rPr>
      <w:rFonts w:asciiTheme="minorHAnsi" w:eastAsiaTheme="minorHAnsi" w:hAnsiTheme="minorHAnsi" w:cstheme="minorBidi"/>
      <w:sz w:val="24"/>
      <w:szCs w:val="24"/>
    </w:rPr>
  </w:style>
  <w:style w:type="paragraph" w:customStyle="1" w:styleId="Bullet">
    <w:name w:val="Bullet"/>
    <w:basedOn w:val="Normal"/>
    <w:link w:val="BulletChar"/>
    <w:qFormat/>
    <w:rsid w:val="00807529"/>
    <w:pPr>
      <w:numPr>
        <w:numId w:val="3"/>
      </w:numPr>
      <w:autoSpaceDE w:val="0"/>
      <w:autoSpaceDN w:val="0"/>
      <w:adjustRightInd w:val="0"/>
      <w:spacing w:after="67" w:line="240" w:lineRule="auto"/>
      <w:textboxTightWrap w:val="none"/>
    </w:pPr>
    <w:rPr>
      <w:rFonts w:asciiTheme="minorHAnsi" w:eastAsiaTheme="minorHAnsi" w:hAnsiTheme="minorHAnsi" w:cstheme="minorHAnsi"/>
      <w:color w:val="000000"/>
    </w:rPr>
  </w:style>
  <w:style w:type="character" w:customStyle="1" w:styleId="BulletChar">
    <w:name w:val="Bullet Char"/>
    <w:basedOn w:val="BodytextChar"/>
    <w:link w:val="Bullet"/>
    <w:rsid w:val="00807529"/>
    <w:rPr>
      <w:rFonts w:asciiTheme="minorHAnsi" w:eastAsiaTheme="minorHAnsi" w:hAnsiTheme="minorHAnsi"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Hoswell\Downloads\Short%20document%20template%201%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998A580978246898B37BDF51BD55F" ma:contentTypeVersion="17" ma:contentTypeDescription="Create a new document." ma:contentTypeScope="" ma:versionID="b6fa5d5c88f40d4d4c67970001678f83">
  <xsd:schema xmlns:xsd="http://www.w3.org/2001/XMLSchema" xmlns:xs="http://www.w3.org/2001/XMLSchema" xmlns:p="http://schemas.microsoft.com/office/2006/metadata/properties" xmlns:ns2="440a2d38-bc02-42fb-bed7-cae780acb6c7" xmlns:ns3="6eb60286-a7d9-492c-8e03-5d1f56fbe788" targetNamespace="http://schemas.microsoft.com/office/2006/metadata/properties" ma:root="true" ma:fieldsID="25117e9d771634cec56b40a030c282af" ns2:_="" ns3:_="">
    <xsd:import namespace="440a2d38-bc02-42fb-bed7-cae780acb6c7"/>
    <xsd:import namespace="6eb60286-a7d9-492c-8e03-5d1f56fbe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a2d38-bc02-42fb-bed7-cae780acb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64b47c-f647-4d05-b65a-2d27d882dc74}" ma:internalName="TaxCatchAll" ma:showField="CatchAllData" ma:web="6eb60286-a7d9-492c-8e03-5d1f56fbe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0a2d38-bc02-42fb-bed7-cae780acb6c7">
      <Terms xmlns="http://schemas.microsoft.com/office/infopath/2007/PartnerControls"/>
    </lcf76f155ced4ddcb4097134ff3c332f>
    <TaxCatchAll xmlns="6eb60286-a7d9-492c-8e03-5d1f56fbe788" xsi:nil="true"/>
    <Notes xmlns="440a2d38-bc02-42fb-bed7-cae780acb6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0A904A7A-C46F-498F-943C-2E141F8B4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a2d38-bc02-42fb-bed7-cae780acb6c7"/>
    <ds:schemaRef ds:uri="6eb60286-a7d9-492c-8e03-5d1f56fb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440a2d38-bc02-42fb-bed7-cae780acb6c7"/>
    <ds:schemaRef ds:uri="6eb60286-a7d9-492c-8e03-5d1f56fbe788"/>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14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Anthony Hoswell</dc:creator>
  <cp:keywords/>
  <cp:lastModifiedBy>Anthony Hoswell</cp:lastModifiedBy>
  <cp:revision>5</cp:revision>
  <cp:lastPrinted>2016-07-14T17:27:00Z</cp:lastPrinted>
  <dcterms:created xsi:type="dcterms:W3CDTF">2023-10-09T10:39:00Z</dcterms:created>
  <dcterms:modified xsi:type="dcterms:W3CDTF">2023-10-09T11:11:00Z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